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bookmarkStart w:id="0" w:name="_GoBack"/>
      <w:bookmarkEnd w:id="0"/>
      <w:r w:rsidRPr="00311DDF">
        <w:rPr>
          <w:b/>
          <w:sz w:val="28"/>
          <w:szCs w:val="28"/>
          <w:lang w:val="uk-UA"/>
        </w:rPr>
        <w:t xml:space="preserve">Комерційна пропозиція «ТВІЙ </w:t>
      </w:r>
      <w:r w:rsidR="00054A01">
        <w:rPr>
          <w:b/>
          <w:sz w:val="28"/>
          <w:szCs w:val="28"/>
          <w:lang w:val="uk-UA"/>
        </w:rPr>
        <w:t xml:space="preserve">ГАЗ </w:t>
      </w:r>
      <w:r w:rsidRPr="00311DDF">
        <w:rPr>
          <w:b/>
          <w:sz w:val="28"/>
          <w:szCs w:val="28"/>
          <w:lang w:val="uk-UA"/>
        </w:rPr>
        <w:t>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9E2594">
        <w:rPr>
          <w:b/>
          <w:sz w:val="28"/>
          <w:szCs w:val="28"/>
          <w:lang w:val="uk-UA"/>
        </w:rPr>
        <w:t>СУМИ</w:t>
      </w:r>
      <w:r w:rsidRPr="00311DDF">
        <w:rPr>
          <w:b/>
          <w:sz w:val="28"/>
          <w:szCs w:val="28"/>
          <w:lang w:val="uk-UA"/>
        </w:rPr>
        <w:t>ГАЗ ЗБУТ» (далі – Постачальник)</w:t>
      </w:r>
    </w:p>
    <w:p w:rsidR="00C60B5A" w:rsidRPr="00311DDF" w:rsidRDefault="009E2594" w:rsidP="00C60B5A">
      <w:pPr>
        <w:pStyle w:val="a3"/>
        <w:shd w:val="clear" w:color="auto" w:fill="FFFFFF"/>
        <w:spacing w:before="0" w:beforeAutospacing="0" w:after="0" w:afterAutospacing="0"/>
        <w:jc w:val="center"/>
        <w:rPr>
          <w:b/>
          <w:sz w:val="28"/>
          <w:szCs w:val="28"/>
          <w:lang w:val="uk-UA"/>
        </w:rPr>
      </w:pPr>
      <w:r>
        <w:rPr>
          <w:b/>
          <w:sz w:val="28"/>
          <w:szCs w:val="28"/>
          <w:lang w:val="uk-UA"/>
        </w:rPr>
        <w:t>від 24</w:t>
      </w:r>
      <w:r w:rsidR="00C60B5A" w:rsidRPr="00311DDF">
        <w:rPr>
          <w:b/>
          <w:sz w:val="28"/>
          <w:szCs w:val="28"/>
          <w:lang w:val="uk-UA"/>
        </w:rPr>
        <w:t>.04.2021 р.</w:t>
      </w:r>
    </w:p>
    <w:p w:rsidR="00EA297B" w:rsidRPr="00EA297B" w:rsidRDefault="00C60B5A" w:rsidP="00EA297B">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вебсайті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w:t>
      </w:r>
      <w:r w:rsidR="00EA297B" w:rsidRPr="00EA297B">
        <w:rPr>
          <w:sz w:val="28"/>
          <w:szCs w:val="28"/>
          <w:lang w:val="uk-UA"/>
        </w:rPr>
        <w:t>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r w:rsidR="00082E29">
        <w:rPr>
          <w:sz w:val="28"/>
          <w:szCs w:val="28"/>
          <w:lang w:val="uk-UA"/>
        </w:rPr>
        <w:t>https://sm.gaszbut.com.ua</w:t>
      </w:r>
      <w:r w:rsidRPr="00F6791C">
        <w:rPr>
          <w:sz w:val="28"/>
          <w:szCs w:val="28"/>
          <w:lang w:val="uk-UA"/>
        </w:rPr>
        <w:t xml:space="preserve">, Контакт-центр за телефоном </w:t>
      </w:r>
      <w:r w:rsidRPr="00C33187">
        <w:rPr>
          <w:sz w:val="28"/>
          <w:szCs w:val="28"/>
          <w:lang w:val="uk-UA"/>
        </w:rPr>
        <w:t>(</w:t>
      </w:r>
      <w:r w:rsidR="00C33187" w:rsidRPr="00C33187">
        <w:rPr>
          <w:sz w:val="28"/>
          <w:szCs w:val="28"/>
        </w:rPr>
        <w:t>0542</w:t>
      </w:r>
      <w:r w:rsidR="00C33187" w:rsidRPr="00C33187">
        <w:rPr>
          <w:sz w:val="28"/>
          <w:szCs w:val="28"/>
          <w:lang w:val="uk-UA"/>
        </w:rPr>
        <w:t>)</w:t>
      </w:r>
      <w:r w:rsidR="00C33187" w:rsidRPr="00C33187">
        <w:rPr>
          <w:sz w:val="28"/>
          <w:szCs w:val="28"/>
        </w:rPr>
        <w:t xml:space="preserve"> 76 73 04</w:t>
      </w:r>
      <w:r w:rsidR="00C33187">
        <w:rPr>
          <w:sz w:val="28"/>
          <w:szCs w:val="28"/>
          <w:lang w:val="uk-UA"/>
        </w:rPr>
        <w:t xml:space="preserve">,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lastRenderedPageBreak/>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715E02" w:rsidRPr="00F6791C" w:rsidRDefault="00715E02" w:rsidP="00715E02">
      <w:pPr>
        <w:shd w:val="clear" w:color="auto" w:fill="FFFFFF"/>
        <w:ind w:firstLine="567"/>
        <w:jc w:val="both"/>
        <w:rPr>
          <w:b/>
          <w:bCs/>
          <w:sz w:val="28"/>
          <w:szCs w:val="28"/>
        </w:rPr>
      </w:pPr>
      <w:r w:rsidRPr="00F6791C">
        <w:rPr>
          <w:b/>
          <w:bCs/>
          <w:sz w:val="28"/>
          <w:szCs w:val="28"/>
        </w:rPr>
        <w:t>Інформація про Постачальника:</w:t>
      </w:r>
    </w:p>
    <w:p w:rsidR="00715E02" w:rsidRPr="00B3673A" w:rsidRDefault="00715E02" w:rsidP="00715E02">
      <w:pPr>
        <w:pStyle w:val="a4"/>
        <w:spacing w:line="276" w:lineRule="auto"/>
        <w:ind w:firstLine="567"/>
        <w:rPr>
          <w:rFonts w:ascii="Arial" w:hAnsi="Arial" w:cs="Arial"/>
          <w:b/>
          <w:bCs/>
        </w:rPr>
      </w:pPr>
      <w:r w:rsidRPr="00B3673A">
        <w:rPr>
          <w:rFonts w:ascii="Arial" w:hAnsi="Arial" w:cs="Arial"/>
          <w:b/>
          <w:bCs/>
        </w:rPr>
        <w:t>ТОВ «СУМИГАЗ ЗБУТ»</w:t>
      </w:r>
    </w:p>
    <w:p w:rsidR="00715E02" w:rsidRDefault="00715E02" w:rsidP="00715E02">
      <w:pPr>
        <w:pStyle w:val="a4"/>
        <w:spacing w:line="276" w:lineRule="auto"/>
        <w:rPr>
          <w:rFonts w:ascii="Arial" w:hAnsi="Arial" w:cs="Arial"/>
          <w:bCs/>
        </w:rPr>
      </w:pPr>
      <w:r>
        <w:rPr>
          <w:rFonts w:ascii="Arial" w:hAnsi="Arial" w:cs="Arial"/>
          <w:bCs/>
        </w:rPr>
        <w:t xml:space="preserve">         </w:t>
      </w:r>
    </w:p>
    <w:p w:rsidR="004479D8" w:rsidRDefault="00715E02" w:rsidP="004479D8">
      <w:pPr>
        <w:pStyle w:val="a4"/>
        <w:spacing w:line="276" w:lineRule="auto"/>
        <w:rPr>
          <w:rFonts w:ascii="Arial" w:hAnsi="Arial" w:cs="Arial"/>
          <w:bCs/>
        </w:rPr>
      </w:pPr>
      <w:r>
        <w:rPr>
          <w:rFonts w:ascii="Arial" w:hAnsi="Arial" w:cs="Arial"/>
          <w:bCs/>
        </w:rPr>
        <w:t xml:space="preserve">        </w:t>
      </w:r>
      <w:r w:rsidRPr="00B3673A">
        <w:rPr>
          <w:rFonts w:ascii="Arial" w:hAnsi="Arial" w:cs="Arial"/>
          <w:bCs/>
        </w:rPr>
        <w:t xml:space="preserve">40000, м.Суми, </w:t>
      </w:r>
      <w:r w:rsidR="004479D8">
        <w:rPr>
          <w:rFonts w:ascii="Arial" w:hAnsi="Arial" w:cs="Arial"/>
          <w:bCs/>
        </w:rPr>
        <w:t xml:space="preserve">вул. </w:t>
      </w:r>
      <w:r w:rsidR="004479D8">
        <w:rPr>
          <w:rFonts w:ascii="Arial" w:hAnsi="Arial" w:cs="Arial"/>
          <w:color w:val="242424"/>
          <w:shd w:val="clear" w:color="auto" w:fill="FFFFFF"/>
        </w:rPr>
        <w:t>Шишкарівська, 12/3</w:t>
      </w:r>
    </w:p>
    <w:p w:rsidR="00715E02" w:rsidRPr="004479D8" w:rsidRDefault="004479D8" w:rsidP="004479D8">
      <w:pPr>
        <w:pStyle w:val="a4"/>
        <w:spacing w:line="276" w:lineRule="auto"/>
        <w:rPr>
          <w:rFonts w:ascii="Arial" w:hAnsi="Arial" w:cs="Arial"/>
          <w:bCs/>
        </w:rPr>
      </w:pPr>
      <w:r>
        <w:rPr>
          <w:rFonts w:ascii="Arial" w:hAnsi="Arial" w:cs="Arial"/>
          <w:bCs/>
        </w:rPr>
        <w:t xml:space="preserve">         </w:t>
      </w:r>
      <w:r w:rsidR="00715E02" w:rsidRPr="00B3673A">
        <w:rPr>
          <w:rFonts w:ascii="Arial" w:hAnsi="Arial" w:cs="Arial"/>
          <w:bCs/>
        </w:rPr>
        <w:t>р/р</w:t>
      </w:r>
      <w:r w:rsidR="00715E02" w:rsidRPr="00C327E1">
        <w:rPr>
          <w:rFonts w:ascii="Arial" w:hAnsi="Arial" w:cs="Arial"/>
        </w:rPr>
        <w:t>_</w:t>
      </w:r>
      <w:r w:rsidR="00715E02" w:rsidRPr="00B3673A">
        <w:rPr>
          <w:rFonts w:ascii="Arial" w:hAnsi="Arial" w:cs="Arial"/>
        </w:rPr>
        <w:t>UA203204780000026033924426256</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СОД АБ «УКРГАЗБАНК»</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ЄДРПОУ 39586236</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ІПН 395862318190</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lastRenderedPageBreak/>
        <w:t>Витяг з реєстру платника ПДВ</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№1518194500279</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Телефон: 0542 65 99 44</w:t>
      </w:r>
    </w:p>
    <w:p w:rsidR="00715E02" w:rsidRDefault="00715E02" w:rsidP="00715E02">
      <w:pPr>
        <w:pStyle w:val="a4"/>
        <w:spacing w:line="276" w:lineRule="auto"/>
        <w:ind w:firstLine="567"/>
        <w:rPr>
          <w:rFonts w:ascii="Arial" w:hAnsi="Arial" w:cs="Arial"/>
        </w:rPr>
      </w:pPr>
      <w:r w:rsidRPr="00B3673A">
        <w:rPr>
          <w:rFonts w:ascii="Arial" w:hAnsi="Arial" w:cs="Arial"/>
        </w:rPr>
        <w:t>Телефон к</w:t>
      </w:r>
      <w:r>
        <w:rPr>
          <w:rFonts w:ascii="Arial" w:hAnsi="Arial" w:cs="Arial"/>
        </w:rPr>
        <w:t xml:space="preserve">онсультації споживачів:     </w:t>
      </w:r>
    </w:p>
    <w:p w:rsidR="00715E02" w:rsidRPr="00B3673A" w:rsidRDefault="00715E02" w:rsidP="00715E02">
      <w:pPr>
        <w:pStyle w:val="a4"/>
        <w:spacing w:line="276" w:lineRule="auto"/>
        <w:rPr>
          <w:rFonts w:ascii="Arial" w:hAnsi="Arial" w:cs="Arial"/>
        </w:rPr>
      </w:pPr>
      <w:r>
        <w:rPr>
          <w:rFonts w:ascii="Arial" w:hAnsi="Arial" w:cs="Arial"/>
        </w:rPr>
        <w:t xml:space="preserve">         0542 76 </w:t>
      </w:r>
      <w:r w:rsidRPr="00B3673A">
        <w:rPr>
          <w:rFonts w:ascii="Arial" w:hAnsi="Arial" w:cs="Arial"/>
        </w:rPr>
        <w:t>73 04</w:t>
      </w:r>
    </w:p>
    <w:p w:rsidR="00715E02" w:rsidRPr="00F933AD" w:rsidRDefault="00F933AD" w:rsidP="00715E02">
      <w:pPr>
        <w:pStyle w:val="a4"/>
        <w:spacing w:line="276" w:lineRule="auto"/>
        <w:ind w:firstLine="567"/>
        <w:rPr>
          <w:rFonts w:ascii="Arial" w:hAnsi="Arial" w:cs="Arial"/>
          <w:lang w:val="ru-RU"/>
        </w:rPr>
      </w:pPr>
      <w:r>
        <w:rPr>
          <w:rFonts w:ascii="Arial" w:hAnsi="Arial" w:cs="Arial"/>
          <w:lang w:val="ru-RU"/>
        </w:rPr>
        <w:t xml:space="preserve">Директор </w:t>
      </w:r>
      <w:r w:rsidR="00715E02" w:rsidRPr="00B3673A">
        <w:rPr>
          <w:rFonts w:ascii="Arial" w:hAnsi="Arial" w:cs="Arial"/>
        </w:rPr>
        <w:t xml:space="preserve">________________ </w:t>
      </w:r>
    </w:p>
    <w:p w:rsidR="00715E02" w:rsidRPr="00F6791C" w:rsidRDefault="00715E02" w:rsidP="00715E02">
      <w:pPr>
        <w:shd w:val="clear" w:color="auto" w:fill="FFFFFF"/>
        <w:ind w:firstLine="567"/>
        <w:jc w:val="both"/>
        <w:rPr>
          <w:sz w:val="28"/>
          <w:szCs w:val="28"/>
        </w:rPr>
      </w:pPr>
      <w:r w:rsidRPr="00F6791C">
        <w:rPr>
          <w:sz w:val="28"/>
          <w:szCs w:val="28"/>
        </w:rPr>
        <w:t xml:space="preserve">М.П. </w:t>
      </w:r>
    </w:p>
    <w:p w:rsidR="00715E02" w:rsidRPr="00F6791C" w:rsidRDefault="00715E02" w:rsidP="00715E02">
      <w:pPr>
        <w:jc w:val="both"/>
        <w:rPr>
          <w:sz w:val="28"/>
          <w:szCs w:val="28"/>
        </w:rPr>
      </w:pPr>
    </w:p>
    <w:p w:rsidR="00C60B5A" w:rsidRPr="00F6791C" w:rsidRDefault="00C60B5A" w:rsidP="00C60B5A">
      <w:pPr>
        <w:jc w:val="both"/>
        <w:rPr>
          <w:sz w:val="28"/>
          <w:szCs w:val="28"/>
        </w:rPr>
      </w:pPr>
    </w:p>
    <w:p w:rsidR="00C60B5A" w:rsidRPr="00F6791C" w:rsidRDefault="00C60B5A" w:rsidP="00C60B5A">
      <w:pPr>
        <w:jc w:val="both"/>
        <w:rPr>
          <w:sz w:val="28"/>
          <w:szCs w:val="28"/>
        </w:rPr>
      </w:pPr>
    </w:p>
    <w:p w:rsidR="00337822" w:rsidRDefault="004351E4"/>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54A01"/>
    <w:rsid w:val="00065D03"/>
    <w:rsid w:val="00082E29"/>
    <w:rsid w:val="00092DAC"/>
    <w:rsid w:val="00097F67"/>
    <w:rsid w:val="000C40E2"/>
    <w:rsid w:val="00122C4B"/>
    <w:rsid w:val="001A24FF"/>
    <w:rsid w:val="001A70A9"/>
    <w:rsid w:val="00393703"/>
    <w:rsid w:val="004351E4"/>
    <w:rsid w:val="00446F03"/>
    <w:rsid w:val="004479D8"/>
    <w:rsid w:val="004B78AE"/>
    <w:rsid w:val="00563956"/>
    <w:rsid w:val="00646D9F"/>
    <w:rsid w:val="00715E02"/>
    <w:rsid w:val="00764D4D"/>
    <w:rsid w:val="007C608C"/>
    <w:rsid w:val="007D321C"/>
    <w:rsid w:val="0081069E"/>
    <w:rsid w:val="009E2594"/>
    <w:rsid w:val="00A439C9"/>
    <w:rsid w:val="00A96079"/>
    <w:rsid w:val="00AC0DFF"/>
    <w:rsid w:val="00B26593"/>
    <w:rsid w:val="00B7442B"/>
    <w:rsid w:val="00BB0BD4"/>
    <w:rsid w:val="00C33187"/>
    <w:rsid w:val="00C60B5A"/>
    <w:rsid w:val="00EA297B"/>
    <w:rsid w:val="00F87F12"/>
    <w:rsid w:val="00F933AD"/>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unhideWhenUsed/>
    <w:rsid w:val="00C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Сіденко Тетяна Анатоліївна</cp:lastModifiedBy>
  <cp:revision>2</cp:revision>
  <dcterms:created xsi:type="dcterms:W3CDTF">2023-09-08T07:50:00Z</dcterms:created>
  <dcterms:modified xsi:type="dcterms:W3CDTF">2023-09-08T07:50:00Z</dcterms:modified>
</cp:coreProperties>
</file>